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Arial" w:cs="Arial" w:eastAsia="Arial" w:hAnsi="Arial"/>
          <w:b/>
          <w:bCs/>
          <w:color w:val="4E72AF"/>
          <w:spacing w:val="20"/>
          <w:sz w:val="18"/>
          <w:szCs w:val="18"/>
        </w:rPr>
        <w:t xml:space="preserve">ШАБЛОН ТЕХНИЧЕСКОГО ЗАДАНИЯ</w:t>
      </w:r>
    </w:p>
    <w:p>
      <w:pPr>
        <w:spacing w:after="80" w:line="300"/>
      </w:pPr>
      <w:r>
        <w:rPr>
          <w:rFonts w:ascii="Arial" w:cs="Arial" w:eastAsia="Arial" w:hAnsi="Arial"/>
          <w:b/>
          <w:bCs/>
          <w:color w:val="333333"/>
          <w:sz w:val="40"/>
          <w:szCs w:val="40"/>
        </w:rPr>
        <w:t xml:space="preserve">Техническое задание на систему вентиляции</w:t>
      </w:r>
    </w:p>
    <w:p>
      <w:pPr>
        <w:spacing w:after="240"/>
      </w:pPr>
      <w:r>
        <w:rPr>
          <w:rFonts w:ascii="Arial" w:cs="Arial" w:eastAsia="Arial" w:hAnsi="Arial"/>
          <w:color w:val="6B6B6B"/>
          <w:sz w:val="21"/>
          <w:szCs w:val="21"/>
        </w:rPr>
        <w:t xml:space="preserve">Единый редактируемый шаблон для обследования, проектирования, закупки, монтажа и сдачи систем вентиляции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Объект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Адрес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Заказчик (организация, контактное лицо)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Телефон / e-mail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Проектировщик / исполнитель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Дата и версия ТЗ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7F7F7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333333"/>
                <w:sz w:val="21"/>
                <w:szCs w:val="21"/>
              </w:rPr>
              <w:t xml:space="preserve">Как заполнять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Идите от общего к частному: объект → помещения → воздухообмен → забор и выброс воздуха → оборудование и электричество → автоматика → шум и пожарная безопасность → бюджет и сдача.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Не знаете значение — оставьте поле пустым или напишите «уточнить». Пустое поле лучше, чем угаданная цифра: её всё равно придётся пересчитывать.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Минимум для предварительного подбора оборудования: 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разделы 1, 4, 5, 9, 10 и 12 и таблица помещений (Приложение А).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Общие сведения об объекте</w:t>
      </w:r>
    </w:p>
    <w:p>
      <w:pPr>
        <w:spacing w:after="80" w:line="276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Тип объекта: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коттедж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частный дом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квартира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офис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мастерская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стоматология / медкабинет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цех ЧПУ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цех механообработки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другое: ____________</w:t>
      </w:r>
    </w:p>
    <w:p>
      <w:pPr>
        <w:spacing w:after="60"/>
      </w:pP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Этажность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эт.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Общая высота здания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Высота помещений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Общая площадь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м²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Расчётный объём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Режим работы (часы, смены, дни)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Людей постоянно / максимально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чел.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Город / климатический район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от типа объекта зависят применимые нормы, а от объёма помещений и количества людей — минимальный расход воздуха. Без этих цифр нельзя оценить даже размер установки.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Цель и приоритеты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Система должна обеспечить нормативный воздухообмен и микроклимат, удаление загрязнений, правильное направление потоков, допустимые шум и вибрацию, пожарную безопасность, ремонтопригодность и экономичную эксплуатацию.</w:t>
      </w:r>
    </w:p>
    <w:p>
      <w:pPr>
        <w:spacing w:after="80" w:line="276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Главные приоритеты (отметьте 2–3):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стоимость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комфорт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энергоэффективность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надёжность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компактность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безопасность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возможность расширения</w:t>
      </w:r>
    </w:p>
    <w:p>
      <w:pPr>
        <w:spacing w:after="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одну и ту же задачу можно решить дёшево на старте или дёшево в эксплуатации. Приоритеты определяют выбор между этими вариантами.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Нормативная база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Применять действующие редакции документов. Отметьте применимые к объекту: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60.13330.2020 «Отопление, вентиляция и кондиционирование воздуха» с действующими изменениями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7.13130.2013 — требования пожарной безопасности к системам ОВК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51.13330.2011 «Защита от шума»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54.13330.2022 — многоквартирные жилые здания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118.13330.2022 — общественные здания и сооружения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56.13330.2021 — производственные здания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2.1.3678-20 — медицинские организации (для стоматологий и медкабинетов)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 2.2.4285-26 «Санитарно-эпидемиологические требования к условиям труда»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ГОСТ 21.602-2016 — оформление рабочей документации ОВК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Иные документы: ______________________________________________</w:t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Исходные документы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Заказчик предоставляет (отметьте, что есть):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Планы этажей с экспликацией помещений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Разрезы и фасады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План кровли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Существующие инженерные сети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Данные по электроснабжению (ТУ, разрешённая мощность)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Паспорта технологического оборудования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Данные о выбросах и вредных выделениях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Категории помещений по пожарной опасности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Санитарные требования к объекту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Данные обследования, фото объекта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Требования управляющей компании / арендодателя</w:t>
      </w:r>
    </w:p>
    <w:p>
      <w:pPr>
        <w:spacing w:after="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 планам и разрезам видно, где пройдут воздуховоды, хватит ли высоты за потолком и куда поставить установку. Без них любые цифры — приблизительные.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Помещения и технологические выделения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Заполните таблицу помещений (Приложение А). Для каждой зоны укажите площадь, высоту, объём, количество людей, режим работы, а также выделения: тепло, влага, пыль, аэрозоли, пары, газы, запахи — и местные отсосы от оборудования.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станок, плита, мойка или стоматологическое кресло меняют расчёт сильнее, чем площадь. Один неучтённый источник тепла или пыли — и система не справляется.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Воздухообмен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Расход определяется по наибольшему из расчётов: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Критерий расчёта</w:t>
            </w:r>
          </w:p>
        </w:tc>
        <w:tc>
          <w:tcPr>
            <w:tcW w:type="dxa" w:w="24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Приток, м³/ч</w:t>
            </w:r>
          </w:p>
        </w:tc>
        <w:tc>
          <w:tcPr>
            <w:tcW w:type="dxa" w:w="24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Вытяжка, м³/ч</w:t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 количеству людей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 площади / кратности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 теплоизбыткам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 влаговыделениям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По вредным веществам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Местные отсосы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Технологическое оборудование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8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Принятый расход (наибольший)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100"/>
      </w:pPr>
    </w:p>
    <w:p>
      <w:pPr>
        <w:spacing w:after="80" w:line="276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Режимы работы: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рабочий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ночной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дежурный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аварийный</w:t>
      </w:r>
    </w:p>
    <w:p>
      <w:pPr>
        <w:spacing w:after="80" w:line="276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Баланс воздуха в помещениях: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равновесный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подпор (приток &gt; вытяжки)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разрежение (вытяжка &gt; притока)</w:t>
      </w:r>
    </w:p>
    <w:p>
      <w:pPr>
        <w:spacing w:after="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расчёт по одному критерию почти всегда даёт заниженный результат. Берут максимальный из всех, иначе по одному из факторов — жаре, влаге или запаху — воздуха не хватит.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Параметры микроклимата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Заполните таблицу параметров по помещениям (Приложение Б): температура зимой и летом, влажность, подвижность воздуха, давление относительно смежных помещений.</w:t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8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Принципиальная схема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естественная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механическая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приточная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вытяжная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приточно-вытяжная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 рекуперацией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местная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аварийная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противодымная</w:t>
      </w:r>
    </w:p>
    <w:p>
      <w:pPr>
        <w:spacing w:after="60" w:before="80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Требуются отдельные системы для: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кухни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санузлов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котельной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гаража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бассейна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стерилизационной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рентгена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сварки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окраски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участка ЧПУ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механообработки</w:t>
      </w:r>
    </w:p>
    <w:p>
      <w:pPr>
        <w:spacing w:after="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воздух из «грязных» зон не должен попадать в чистые. Поэтому кухня, санузлы, сварка или покраска обычно обслуживаются своими системами.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9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Воздухозабор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Место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фасад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кровля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шахта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Сторона здания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север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юг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восток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запад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Высота (отметка) воздухозабора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Расстояние до ближайшего выброса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</w:t>
            </w:r>
          </w:p>
        </w:tc>
      </w:tr>
    </w:tbl>
    <w:p>
      <w:pPr>
        <w:spacing w:after="80"/>
      </w:pP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Проверено расстояние до: окон, дорог, парковок, мусорных площадок, соседних зданий. Учтены снег, осадки, солнце, ветер, обмерзание решётки и доступ для обслуживания.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если забирать воздух у парковки или рядом с выбросом, в помещения пойдут выхлоп и запахи. Южный фасад летом нагревает приток, а низкий забор зимой заносит снегом.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10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Выброс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Тип выброса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бытовой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общеобменный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производственный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медицинский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аварийный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Место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кровля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фасад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отдельная шахта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Высота и координаты (на плане кровли / фасаде)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Проверены: окна, воздухозаборы, соседние здания, шум, рассеивание, необходимые согласования.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выброс рядом с чужими окнами — повод для жалоб и предписаний. Место выброса лучше согласовать до закупки оборудования, а не после монтажа.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11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Фильтрация, рекуперация, рециркуляция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600"/>
        <w:gridCol w:w="6038"/>
      </w:tblGrid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Ступени и классы фильтрации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8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Сопротивление фильтров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8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Па</w:t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Датчик перепада давления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да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нет</w:t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Период замены и стоимость фильтров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8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Рекуператор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пластинчатый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роторный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с промежуточным теплоносителем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нет</w:t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КПД рекуператора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8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%</w:t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Рециркуляция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допускается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запрещена</w:t>
            </w:r>
          </w:p>
        </w:tc>
      </w:tr>
      <w:tr>
        <w:trPr>
          <w:trHeight w:val="400" w:hRule="atLeast"/>
        </w:trPr>
        <w:tc>
          <w:tcPr>
            <w:tcW w:type="dxa" w:w="36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Обоснование рециркуляции</w:t>
            </w:r>
          </w:p>
        </w:tc>
        <w:tc>
          <w:tcPr>
            <w:tcW w:type="dxa" w:w="60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8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рекуператор выбирают по тому, насколько загрязнён вытяжной воздух. Роторный может переносить запахи и влагу, поэтому для кухонь, медицины и производств с вредностями он часто не подходит.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12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Электроснабжение и нагрев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Разрешённая мощность объекта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Существующая нагрузка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Свободная мощность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Мощность калорифера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Мощность вентиляторов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Мощность охлаждения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Напряжение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220 В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380 В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Категория электроснабжения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АВР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да</w:t>
            </w: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   </w:t>
            </w:r>
            <w:sdt>
              <w:sdtPr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 нет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зимой подогрев приточного воздуха — самый большой потребитель. Чтобы нагреть 1000 м³/ч с −30 °C до +18 °C, нужно около 16 кВт, а это больше, чем часто выделено на квартиру целиком. При нехватке мощности рассматривают водяной калорифер, тепловой насос или рекуперацию.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13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Автоматика</w:t>
      </w:r>
    </w:p>
    <w:p>
      <w:pPr>
        <w:spacing w:after="80" w:line="276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Режимы: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рабочий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ночной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дежурный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пусковой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летний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зимний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аварийный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сервисный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Датчики: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температура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CO₂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влажность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перепад давления на фильтрах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положение клапанов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состояние вентиляторов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Защиты и блокировки: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от замораживания калорифера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от перегрева ТЭН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 пожарной сигнализацией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 технологическим оборудованием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с местными отсосами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4400"/>
        <w:gridCol w:w="5238"/>
      </w:tblGrid>
      <w:tr>
        <w:trPr>
          <w:trHeight w:val="400" w:hRule="atLeast"/>
        </w:trPr>
        <w:tc>
          <w:tcPr>
            <w:tcW w:type="dxa" w:w="44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Диспетчеризация: передаваемые параметры, аварии, архив</w:t>
            </w:r>
          </w:p>
        </w:tc>
        <w:tc>
          <w:tcPr>
            <w:tcW w:type="dxa" w:w="52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0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14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Шум и вибрация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Допустимый шум в помещениях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дБА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Допустимый шум на фасаде / кровле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дБА</w:t>
            </w:r>
          </w:p>
        </w:tc>
      </w:tr>
    </w:tbl>
    <w:p>
      <w:pPr>
        <w:spacing w:after="80"/>
      </w:pPr>
    </w:p>
    <w:p>
      <w:pPr>
        <w:spacing w:after="80" w:line="276"/>
      </w:pPr>
      <w:r>
        <w:rPr>
          <w:rFonts w:ascii="Arial" w:cs="Arial" w:eastAsia="Arial" w:hAnsi="Arial"/>
          <w:b/>
          <w:bCs/>
          <w:color w:val="333333"/>
          <w:sz w:val="20"/>
          <w:szCs w:val="20"/>
        </w:rPr>
        <w:t xml:space="preserve">Мероприятия:</w:t>
      </w:r>
    </w:p>
    <w:p>
      <w:pPr>
        <w:spacing w:after="60" w:line="30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шумоглушители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гибкие вставки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виброопоры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пониженные скорости воздуха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    </w:t>
      </w: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контрольные замеры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Расчёт выполняется по октавным полосам для вентиляторов, воздуховодов, клапанов, решёток, диффузоров, фасадного и технологического оборудования.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шум — самая частая претензия к готовой вентиляции, а исправлять его после монтажа дорого. Если требования заданы заранее, шумоглушители и скорости воздуха закладываются сразу.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15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Пожарная безопасность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Пожарные отсеки и транзитные воздуховоды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Огнезадерживающие клапаны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Дымовые клапаны и дымоудаление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Огнестойкость воздуховодов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Огнезаделка проходов через стены и перекрытия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Взрывоопасная пыль или аэрозоли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Отключение вентиляции по сигналу пожарной автоматики</w:t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16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Монтаж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Место для оборудования: венткамера / за потолком / кровля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Трассы, шахты, проходки, высота за потолком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Доставка оборудования: размеры проёмов, подъём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Отвод конденсата и дренаж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Теплоизоляция и огнезаделка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Кровельные и фасадные узлы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Опоры, крепления, виброизоляция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Сервисные зоны и люки для обслуживания</w:t>
      </w:r>
    </w:p>
    <w:p>
      <w:pPr>
        <w:spacing w:after="6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установка, которая не проходит в дверь или не помещается за потолок, — частая причина переделок. Проверить это на этапе ТЗ дешевле всего.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17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Смета и жизненный цикл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3219"/>
        <w:gridCol w:w="1600"/>
        <w:gridCol w:w="3219"/>
        <w:gridCol w:w="1600"/>
      </w:tblGrid>
      <w:tr>
        <w:trPr>
          <w:tblHeader/>
        </w:trPr>
        <w:tc>
          <w:tcPr>
            <w:tcW w:type="dxa" w:w="3219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Капитальные затраты (CAPEX)</w:t>
            </w:r>
          </w:p>
        </w:tc>
        <w:tc>
          <w:tcPr>
            <w:tcW w:type="dxa" w:w="16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руб.</w:t>
            </w:r>
          </w:p>
        </w:tc>
        <w:tc>
          <w:tcPr>
            <w:tcW w:type="dxa" w:w="3219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Эксплуатация (OPEX)</w:t>
            </w:r>
          </w:p>
        </w:tc>
        <w:tc>
          <w:tcPr>
            <w:tcW w:type="dxa" w:w="16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руб./год</w:t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Оборудование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Электроэнергия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Воздуховоды и фасонные изделия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Нагрев воздуха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Автоматика и электромонтаж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Фильтры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Клапаны, шумоглушители, изоляция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Сервисное обслуживание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Монтаж и огнезаделка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Запасные части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Пусконаладка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Итого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219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Итого в год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4E72AF" w:sz="18"/>
              <w:bottom w:val="none" w:color="FFFFFF" w:sz="0"/>
              <w:right w:val="none" w:color="FFFFFF" w:sz="0"/>
            </w:tcBorders>
            <w:shd w:fill="E9EEF7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3A5A90"/>
                <w:sz w:val="18"/>
                <w:szCs w:val="18"/>
              </w:rPr>
              <w:t xml:space="preserve">Зачем это нужно: </w:t>
            </w: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дешёвая установка с электрокалорифером может обходиться дороже за 2–3 года эксплуатации. Сравнивать варианты нужно по сумме CAPEX и OPEX.</w:t>
            </w:r>
          </w:p>
        </w:tc>
      </w:tr>
    </w:tbl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18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Пусконаладка и сдача</w:t>
      </w:r>
    </w:p>
    <w:p>
      <w:pPr>
        <w:spacing w:after="80" w:line="276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При сдаче выполнить и оформить протоколами: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Аэродинамические измерения и балансировка расходов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Температура, влажность, давление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Шум и вибрация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Проверка автоматики, блокировок и пожарного режима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Состояние фильтров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Работа местных отсосов и связь с технологическим оборудованием</w:t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19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Исполнительная документация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Рабочие и исполнительные схемы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Паспорта и сертификаты оборудования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Спецификация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Инструкции по эксплуатации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Протоколы измерений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Акты скрытых работ и огнезаделки</w:t>
      </w:r>
    </w:p>
    <w:p>
      <w:pPr>
        <w:spacing w:after="40" w:line="276"/>
        <w:ind w:left="120"/>
      </w:pPr>
      <w:sdt>
        <w:sdtPr>
          <w14:checkbox>
            <w14:checked w14:val="0"/>
            <w14:checkedState w14:val="2611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333333"/>
          <w:sz w:val="20"/>
          <w:szCs w:val="20"/>
        </w:rPr>
        <w:t xml:space="preserve">  Гарантийные обязательства и регламент обслуживания</w:t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4E72AF"/>
          <w:sz w:val="24"/>
          <w:szCs w:val="24"/>
        </w:rPr>
        <w:t xml:space="preserve">20  </w:t>
      </w: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Итоговое решение</w:t>
      </w:r>
    </w:p>
    <w:tbl>
      <w:tblPr>
        <w:tblW w:type="dxa" w:w="9638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</w:tblPr>
      <w:tblGrid>
        <w:gridCol w:w="3900"/>
        <w:gridCol w:w="5738"/>
      </w:tblGrid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Принятая схема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Приток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м³/ч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Вытяжка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м³/ч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Местные отсосы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м³/ч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Калорифер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Свободная электрическая мощность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	кВт</w:t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Место воздухозабора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Место выброса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900"/>
            <w:shd w:fill="F7F7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9"/>
                <w:szCs w:val="19"/>
              </w:rPr>
              <w:t xml:space="preserve">Основные риски</w:t>
            </w:r>
          </w:p>
        </w:tc>
        <w:tc>
          <w:tcPr>
            <w:tcW w:type="dxa" w:w="57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tabs>
                <w:tab w:val="right" w:pos="5518"/>
              </w:tabs>
              <w:spacing w:after="0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ectPr>
          <w:headerReference w:type="default" r:id="rId7"/>
          <w:footerReference w:type="default" r:id="rId8"/>
          <w:pgSz w:w="11906" w:h="16838" w:orient="portrait"/>
          <w:pgMar w:top="1250" w:right="1134" w:bottom="1000" w:left="1134" w:header="560" w:footer="500" w:gutter="0"/>
          <w:pgNumType/>
          <w:docGrid w:linePitch="360"/>
        </w:sectPr>
      </w:pP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Приложение А. Таблица помещений</w:t>
      </w:r>
    </w:p>
    <w:p>
      <w:pPr>
        <w:spacing w:after="80" w:line="276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Выделения: Т — тепло, В — влага, П — пыль, Г — газы и пары, З — запахи, А — аэрозоли.</w:t>
      </w:r>
    </w:p>
    <w:tbl>
      <w:tblPr>
        <w:tblW w:type="dxa" w:w="14570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500"/>
        <w:gridCol w:w="2300"/>
        <w:gridCol w:w="1000"/>
        <w:gridCol w:w="900"/>
        <w:gridCol w:w="1000"/>
        <w:gridCol w:w="900"/>
        <w:gridCol w:w="1700"/>
        <w:gridCol w:w="1900"/>
        <w:gridCol w:w="1800"/>
        <w:gridCol w:w="2570"/>
      </w:tblGrid>
      <w:tr>
        <w:trPr>
          <w:tblHeader/>
        </w:trPr>
        <w:tc>
          <w:tcPr>
            <w:tcW w:type="dxa" w:w="5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№</w:t>
            </w:r>
          </w:p>
        </w:tc>
        <w:tc>
          <w:tcPr>
            <w:tcW w:type="dxa" w:w="23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Помещение</w:t>
            </w:r>
          </w:p>
        </w:tc>
        <w:tc>
          <w:tcPr>
            <w:tcW w:type="dxa" w:w="10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Площадь, м²</w:t>
            </w:r>
          </w:p>
        </w:tc>
        <w:tc>
          <w:tcPr>
            <w:tcW w:type="dxa" w:w="9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Высота, м</w:t>
            </w:r>
          </w:p>
        </w:tc>
        <w:tc>
          <w:tcPr>
            <w:tcW w:type="dxa" w:w="10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Объём, м³</w:t>
            </w:r>
          </w:p>
        </w:tc>
        <w:tc>
          <w:tcPr>
            <w:tcW w:type="dxa" w:w="9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Люди</w:t>
            </w:r>
          </w:p>
        </w:tc>
        <w:tc>
          <w:tcPr>
            <w:tcW w:type="dxa" w:w="17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Режим работы</w:t>
            </w:r>
          </w:p>
        </w:tc>
        <w:tc>
          <w:tcPr>
            <w:tcW w:type="dxa" w:w="19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Выделения</w:t>
            </w:r>
          </w:p>
        </w:tc>
        <w:tc>
          <w:tcPr>
            <w:tcW w:type="dxa" w:w="18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Местные отсосы</w:t>
            </w:r>
          </w:p>
        </w:tc>
        <w:tc>
          <w:tcPr>
            <w:tcW w:type="dxa" w:w="257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Особые требования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2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3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4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6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7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8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9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10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11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12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5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Приложение Б. Параметры микроклимата</w:t>
      </w:r>
    </w:p>
    <w:tbl>
      <w:tblPr>
        <w:tblW w:type="dxa" w:w="14570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3770"/>
        <w:gridCol w:w="1800"/>
        <w:gridCol w:w="1800"/>
        <w:gridCol w:w="1800"/>
        <w:gridCol w:w="2000"/>
        <w:gridCol w:w="3400"/>
      </w:tblGrid>
      <w:tr>
        <w:trPr>
          <w:tblHeader/>
        </w:trPr>
        <w:tc>
          <w:tcPr>
            <w:tcW w:type="dxa" w:w="377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Помещение</w:t>
            </w:r>
          </w:p>
        </w:tc>
        <w:tc>
          <w:tcPr>
            <w:tcW w:type="dxa" w:w="18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 зимой, °C</w:t>
            </w:r>
          </w:p>
        </w:tc>
        <w:tc>
          <w:tcPr>
            <w:tcW w:type="dxa" w:w="18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 летом, °C</w:t>
            </w:r>
          </w:p>
        </w:tc>
        <w:tc>
          <w:tcPr>
            <w:tcW w:type="dxa" w:w="18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Влажность, %</w:t>
            </w:r>
          </w:p>
        </w:tc>
        <w:tc>
          <w:tcPr>
            <w:tcW w:type="dxa" w:w="20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Скорость, м/с</w:t>
            </w:r>
          </w:p>
        </w:tc>
        <w:tc>
          <w:tcPr>
            <w:tcW w:type="dxa" w:w="34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Давление относительно смежных</w:t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</w:p>
    <w:p>
      <w:pPr>
        <w:keepNext/>
        <w:pBdr>
          <w:bottom w:val="single" w:color="4E72AF" w:sz="8" w:space="4"/>
        </w:pBdr>
        <w:spacing w:after="100" w:before="280"/>
      </w:pPr>
      <w:r>
        <w:rPr>
          <w:rFonts w:ascii="Arial" w:cs="Arial" w:eastAsia="Arial" w:hAnsi="Arial"/>
          <w:b/>
          <w:bCs/>
          <w:color w:val="333333"/>
          <w:sz w:val="24"/>
          <w:szCs w:val="24"/>
        </w:rPr>
        <w:t xml:space="preserve">Согласование</w:t>
      </w:r>
    </w:p>
    <w:tbl>
      <w:tblPr>
        <w:tblW w:type="dxa" w:w="14570"/>
        <w:tblBorders>
          <w:top w:val="single" w:color="D9DDE3" w:sz="4"/>
          <w:left w:val="single" w:color="D9DDE3" w:sz="4"/>
          <w:bottom w:val="single" w:color="D9DDE3" w:sz="4"/>
          <w:right w:val="single" w:color="D9DDE3" w:sz="4"/>
          <w:insideH w:val="single" w:color="D9DDE3" w:sz="4"/>
          <w:insideV w:val="single" w:color="D9DDE3" w:sz="4"/>
        </w:tblBorders>
        <w:tblLayout w:type="fixed"/>
      </w:tblPr>
      <w:tblGrid>
        <w:gridCol w:w="3400"/>
        <w:gridCol w:w="3770"/>
        <w:gridCol w:w="2800"/>
        <w:gridCol w:w="2600"/>
        <w:gridCol w:w="2000"/>
      </w:tblGrid>
      <w:tr>
        <w:trPr>
          <w:tblHeader/>
        </w:trPr>
        <w:tc>
          <w:tcPr>
            <w:tcW w:type="dxa" w:w="34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Сторона</w:t>
            </w:r>
          </w:p>
        </w:tc>
        <w:tc>
          <w:tcPr>
            <w:tcW w:type="dxa" w:w="377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Ф. И. О.</w:t>
            </w:r>
          </w:p>
        </w:tc>
        <w:tc>
          <w:tcPr>
            <w:tcW w:type="dxa" w:w="28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Должность</w:t>
            </w:r>
          </w:p>
        </w:tc>
        <w:tc>
          <w:tcPr>
            <w:tcW w:type="dxa" w:w="26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Подпись</w:t>
            </w:r>
          </w:p>
        </w:tc>
        <w:tc>
          <w:tcPr>
            <w:tcW w:type="dxa" w:w="2000"/>
            <w:shd w:fill="4E72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Дата</w:t>
            </w:r>
          </w:p>
        </w:tc>
      </w:tr>
      <w:tr>
        <w:trPr>
          <w:cantSplit/>
          <w:trHeight w:val="520" w:hRule="atLeast"/>
        </w:trP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Заказчик</w:t>
            </w:r>
          </w:p>
        </w:tc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Проектировщик</w:t>
            </w:r>
          </w:p>
        </w:tc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Ответственный за ОВК</w:t>
            </w:r>
          </w:p>
        </w:tc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>Ответственный за автоматику</w:t>
            </w:r>
          </w:p>
        </w:tc>
        <w:tc>
          <w:tcPr>
            <w:tcW w:type="dxa" w:w="377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64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</w:rPr>
              <w:t xml:space="preserve"/>
            </w:r>
          </w:p>
        </w:tc>
      </w:tr>
    </w:tbl>
    <w:p>
      <w:pPr>
        <w:spacing w:after="240"/>
      </w:pPr>
    </w:p>
    <w:tbl>
      <w:tblPr>
        <w:tblW w:type="dxa" w:w="145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4570"/>
      </w:tblGrid>
      <w:tr>
        <w:tc>
          <w:tcPr>
            <w:tcW w:type="dxa" w:w="14570"/>
            <w:shd w:fill="4E72AF" w:color="auto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Поможем заполнить ТЗ и подобрать оборудование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FFFFFF"/>
                <w:sz w:val="19"/>
                <w:szCs w:val="19"/>
              </w:rPr>
              <w:t xml:space="preserve">Пришлите заполненный шаблон, даже частично, с планами помещений. Проверим ТЗ, зададим уточняющие вопросы и подготовим подбор оборудования.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«Климат-Контроль», Ижевск · +7 (3412) 97-09-67 · admin@klimat-kontrol.com · klimat-kontrol.com</w:t>
            </w:r>
          </w:p>
        </w:tc>
      </w:tr>
    </w:tbl>
    <w:sectPr>
      <w:headerReference w:type="default" r:id="rId9"/>
      <w:footerReference w:type="default" r:id="rId10"/>
      <w:pgSz w:w="16838" w:h="11906" w:orient="landscape"/>
      <w:pgMar w:top="1250" w:right="1134" w:bottom="10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6B6B6B"/>
        <w:sz w:val="15"/>
        <w:szCs w:val="15"/>
      </w:rPr>
      <w:t xml:space="preserve">Климат-Контроль · klimat-kontrol.com · +7 (3412) 97-09-67 · </w:t>
    </w:r>
    <w:r>
      <w:rPr>
        <w:rFonts w:ascii="Arial" w:cs="Arial" w:eastAsia="Arial" w:hAnsi="Arial"/>
        <w:color w:val="6B6B6B"/>
        <w:sz w:val="15"/>
        <w:szCs w:val="15"/>
      </w:rPr>
      <w:t xml:space="preserve">Шаблон ТЗ на вентиляцию</w:t>
    </w:r>
    <w:r>
      <w:rPr>
        <w:rFonts w:ascii="Arial" w:cs="Arial" w:eastAsia="Arial" w:hAnsi="Arial"/>
        <w:color w:val="6B6B6B"/>
        <w:sz w:val="15"/>
        <w:szCs w:val="15"/>
      </w:rPr>
      <w:t xml:space="preserve">	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570"/>
      </w:tabs>
    </w:pPr>
    <w:r>
      <w:rPr>
        <w:rFonts w:ascii="Arial" w:cs="Arial" w:eastAsia="Arial" w:hAnsi="Arial"/>
        <w:color w:val="6B6B6B"/>
        <w:sz w:val="15"/>
        <w:szCs w:val="15"/>
      </w:rPr>
      <w:t xml:space="preserve">Климат-Контроль · klimat-kontrol.com · +7 (3412) 97-09-67 · </w:t>
    </w:r>
    <w:r>
      <w:rPr>
        <w:rFonts w:ascii="Arial" w:cs="Arial" w:eastAsia="Arial" w:hAnsi="Arial"/>
        <w:color w:val="6B6B6B"/>
        <w:sz w:val="15"/>
        <w:szCs w:val="15"/>
      </w:rPr>
      <w:t xml:space="preserve">Шаблон ТЗ на вентиляцию</w:t>
    </w:r>
    <w:r>
      <w:rPr>
        <w:rFonts w:ascii="Arial" w:cs="Arial" w:eastAsia="Arial" w:hAnsi="Arial"/>
        <w:color w:val="6B6B6B"/>
        <w:sz w:val="15"/>
        <w:szCs w:val="15"/>
      </w:rPr>
      <w:t xml:space="preserve">	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3" w:sz="4" w:space="6"/>
      </w:pBdr>
      <w:tabs>
        <w:tab w:val="right" w:pos="9638"/>
      </w:tabs>
      <w:spacing w:after="0"/>
    </w:pPr>
    <w:r>
      <w:drawing>
        <wp:inline distT="0" distB="0" distL="0" distR="0">
          <wp:extent cx="1428750" cy="2000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B6B6B"/>
        <w:sz w:val="16"/>
        <w:szCs w:val="16"/>
      </w:rPr>
      <w:t xml:space="preserve">	Шаблон ТЗ на систему вентиляции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3" w:sz="4" w:space="6"/>
      </w:pBdr>
      <w:tabs>
        <w:tab w:val="right" w:pos="14570"/>
      </w:tabs>
      <w:spacing w:after="0"/>
    </w:pPr>
    <w:r>
      <w:drawing>
        <wp:inline distT="0" distB="0" distL="0" distR="0">
          <wp:extent cx="1428750" cy="2000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B6B6B"/>
        <w:sz w:val="16"/>
        <w:szCs w:val="16"/>
      </w:rPr>
      <w:t xml:space="preserve">	Шаблон ТЗ на систему вентиляции · приложения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1b1eeac5d23fd5cd65d210c3832fe33722a456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1b1eeac5d23fd5cd65d210c3832fe33722a456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систему вентиляции — шаблон</dc:title>
  <dc:creator>Климат-Контроль</dc:creator>
  <dc:description>Редактируемый шаблон ТЗ на вентиляцию. klimat-kontrol.com</dc:description>
  <cp:lastModifiedBy>Un-named</cp:lastModifiedBy>
  <cp:revision>1</cp:revision>
  <dcterms:created xsi:type="dcterms:W3CDTF">2026-10-06T08:11:59.164Z</dcterms:created>
  <dcterms:modified xsi:type="dcterms:W3CDTF">2026-10-06T08:11:59.164Z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